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9C1A" w14:textId="77777777"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F58043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37467CF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26357FB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6D71D48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F3A765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175AFD3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9B1E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98C3C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59392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636A0ED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1E5A7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3FEFF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91A79D8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77C11B06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62E4A2F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885B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F246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3F0F627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BC672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90DE3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0C66645B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24B4F3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4E3EA977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8163E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7A2476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597D7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112EC5D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4A685518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14:paraId="1F9555F5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происшествий на водных объектах</w:t>
            </w:r>
          </w:p>
        </w:tc>
      </w:tr>
      <w:tr w:rsidR="003C26CC" w:rsidRPr="00A66A79" w14:paraId="5C146CA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1F7A7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69BE2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6FB40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1B165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F664D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1674867F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8668B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2A302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3D2561FB" w14:textId="77777777" w:rsidTr="00845DE2">
        <w:trPr>
          <w:trHeight w:val="1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81B5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E34BE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0D1A5031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3223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C59870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75DA75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4A5ED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379AA3E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CB38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06CBA" w14:textId="56A19FE4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952D2F">
              <w:rPr>
                <w:rFonts w:ascii="Liberation Serif" w:hAnsi="Liberation Serif"/>
                <w:color w:val="000000"/>
                <w:sz w:val="24"/>
                <w:szCs w:val="24"/>
              </w:rPr>
              <w:t>8650</w:t>
            </w:r>
            <w:r w:rsidR="00761B2B">
              <w:rPr>
                <w:rFonts w:ascii="Liberation Serif" w:hAnsi="Liberation Serif"/>
                <w:color w:val="000000"/>
                <w:sz w:val="24"/>
                <w:szCs w:val="24"/>
              </w:rPr>
              <w:t>5,0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6988133B" w14:textId="6DD93A10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952D2F">
              <w:rPr>
                <w:rFonts w:ascii="Liberation Serif" w:hAnsi="Liberation Serif"/>
                <w:color w:val="000000"/>
                <w:sz w:val="24"/>
                <w:szCs w:val="24"/>
              </w:rPr>
              <w:t>8650</w:t>
            </w:r>
            <w:r w:rsidR="00761B2B">
              <w:rPr>
                <w:rFonts w:ascii="Liberation Serif" w:hAnsi="Liberation Serif"/>
                <w:color w:val="000000"/>
                <w:sz w:val="24"/>
                <w:szCs w:val="24"/>
              </w:rPr>
              <w:t>5,0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24569B6C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99541AC" w14:textId="6FD52765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 w:rsidRPr="007147F9">
              <w:rPr>
                <w:rFonts w:ascii="Liberation Serif" w:hAnsi="Liberation Serif"/>
                <w:sz w:val="24"/>
                <w:szCs w:val="24"/>
              </w:rPr>
              <w:t>10751,0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5E05293E" w14:textId="3EECA148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14310,6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70C0D7D" w14:textId="31617BF0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15377,7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746E1F57" w14:textId="7A4226FA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15704,3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FB54FE1" w14:textId="11DCFB5E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952D2F">
              <w:rPr>
                <w:rFonts w:ascii="Liberation Serif" w:hAnsi="Liberation Serif"/>
                <w:sz w:val="24"/>
                <w:szCs w:val="24"/>
              </w:rPr>
              <w:t>16326,0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29C64D92" w14:textId="472D3F07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14035,4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8AECBC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F4BF5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CAD3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44CD7ECB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10989F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5FFA048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0AB496E4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D0D6D2A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1721B0EA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lastRenderedPageBreak/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r w:rsidR="00C26F54">
        <w:rPr>
          <w:rFonts w:ascii="Times New Roman" w:hAnsi="Times New Roman"/>
          <w:sz w:val="24"/>
          <w:szCs w:val="24"/>
        </w:rPr>
        <w:t>средне-областного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028CAD85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69E976BE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3C7D5668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2F68962B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настоящее время 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5A55C6E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</w:t>
      </w:r>
      <w:r>
        <w:rPr>
          <w:rFonts w:ascii="Times New Roman" w:hAnsi="Times New Roman"/>
          <w:sz w:val="24"/>
          <w:szCs w:val="24"/>
        </w:rPr>
        <w:lastRenderedPageBreak/>
        <w:t>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27BCC9F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109BC83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435DB403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7CCFA77C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45593C6E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0B700F85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651026B3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37A98283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7D009B20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B4C1C07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51DC06B1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00F99F74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366CEE1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>; по созданию условий для деятельности добровольной пожарной команды в п.Пудлинговый.</w:t>
      </w:r>
    </w:p>
    <w:p w14:paraId="1A1B47E3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23A18CA4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079D3A7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35D9A155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790EFE2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4F3870C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ходе и результатах реализации муниципальной программы, финансировании программных мероприятий.</w:t>
      </w:r>
    </w:p>
    <w:p w14:paraId="434ABFFB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25B3E3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012CF96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3569B1B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2D2F77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26C9AE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7B8031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0006CFB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205BA23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66B89D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16943E3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5022E17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652FD81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7819FA0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муниципальной программы с точки зрения или их сокращения, или снижения ожидаемых эффектов от их решения;</w:t>
      </w:r>
    </w:p>
    <w:p w14:paraId="42D5C2F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1DA4A7A4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50BFFD5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7067E13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5C3865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lastRenderedPageBreak/>
        <w:t>- разработка муниципальных правовых актов, их методическое, информационное сопровождение;</w:t>
      </w:r>
    </w:p>
    <w:p w14:paraId="7A95347D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490B96D8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5CA6CAFD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05C622AE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1D2D2DBA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0426F2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93FFB1B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56912009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1886E252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09A53098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2145F1AA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4D450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1B477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175503F0" w14:textId="77777777"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3384C556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356ED96B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34219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B61FE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CB2DDB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B0991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AE5C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09D74D38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79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1FC6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DF7F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F20F1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7F6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7D26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E160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90FAB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AED4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CEA87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DD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689455B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A268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5B47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8C00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C7A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48127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8A4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F98B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6405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ED9DD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8DD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C65AC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412CF1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A8F86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ED76A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B06B4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0BA14E3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3A185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86260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2EED7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41419296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14:paraId="07EA84D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2B05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747020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E1FAB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14:paraId="6811A4C2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5F33005E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5ED56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EAE9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6D15A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48BA21F7" w14:textId="77777777"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14:paraId="27B5EA62" w14:textId="77777777"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ED696D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23A70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8AB3C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00C0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FAB6D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0612C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C901A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711B5A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32ECB8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20A96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D00AB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F9AB5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54F6D39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2AF3F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9B604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87EC9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484BBDC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7D4C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A47F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84D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CFD8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7C26C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A65B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744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58A7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C2044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F0D70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3382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E58C3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1ABFD8A1" w14:textId="77777777"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14:paraId="4CE65D46" w14:textId="77777777"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EEA73" w14:textId="77777777" w:rsidR="00A66920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Усл.</w:t>
            </w:r>
          </w:p>
          <w:p w14:paraId="3C951687" w14:textId="26CA918F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E198D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70E43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B0A9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20C3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B46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77EAF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3EE77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5E6DD5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FDBE74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803385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44D1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4BB44CE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3265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3CB6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0EED6F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73B78BF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14:paraId="6380ADD6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9CC5F" w14:textId="7B84D568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4C5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7EB7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20F9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D3DB7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58D38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675B02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B485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36650E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7B4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25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B8AB2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61B4A1C2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E7A2C" w14:textId="05E1869F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1DCF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81BD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20FCE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2ADA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BEF2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F03E9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5CBBF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05C547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9903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D9A7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AB771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7D1D7B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096E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A98B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1FA40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147A4B8F" w14:textId="77777777"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14:paraId="32B16C6A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8F293" w14:textId="0C36ED7A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EE9F7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2662D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67DB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216F3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71B9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AD88A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20EC5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14:paraId="5BA5BE6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7DD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98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F7B30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2182447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6205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3F9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B9224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48DF52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928B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CAFE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49C20" w14:textId="77777777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14:paraId="77865518" w14:textId="77777777"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777B7D97" w14:textId="77777777"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DFE11" w14:textId="43DD5410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58C7E2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93704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06F7D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202D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2304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FFE4F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BFCD4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14:paraId="175316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DC00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2D55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0C65C" w14:textId="77777777"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14:paraId="13C67EE8" w14:textId="77777777"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14:paraId="40FF48B2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4BA45" w14:textId="36514BAA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AA83C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BDFE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9BF4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0C1F3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D46BE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FBB18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96562" w14:textId="77777777"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14:paraId="31119E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0D193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4D5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86544" w14:textId="77777777"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14:paraId="129E9BC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FF071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BFC23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8F0C" w14:textId="77777777"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14:paraId="0CAF81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9C6C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C8D32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B87E" w14:textId="77777777"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14:paraId="2BA451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5DFC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6C742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71362" w14:textId="77777777"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14:paraId="2E5F595D" w14:textId="77777777"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188F" w14:textId="3CEB2430"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EDC46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5375B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9744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8A6F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A3B6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B395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459C3" w14:textId="77777777"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14:paraId="536A192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4964B" w14:textId="77777777"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690F7" w14:textId="77777777"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425C6" w14:textId="77777777"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14:paraId="25D489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419E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9A5D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BC284" w14:textId="77777777"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14:paraId="71A22EE5" w14:textId="77777777"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E0B70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39B874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66223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B7D49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2232D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C3E0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473BA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87099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14:paraId="61E91D2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C9D7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18A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44A75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14:paraId="56AC848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0594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DD92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07746" w14:textId="77777777"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14:paraId="055916E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62A6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5A40E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3A9D7" w14:textId="77777777"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14:paraId="78378793" w14:textId="77777777"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1B464B5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F6E9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32B5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28C2F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38D045" w14:textId="77777777"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AE82B" w14:textId="4E11A020"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99243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CE99C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AD446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E49A8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CB62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3F2D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572C2B" w14:textId="77777777"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14:paraId="3DE3BF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5C4D0" w14:textId="77777777"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48D7" w14:textId="77777777"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31B86" w14:textId="617BC7EE"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</w:t>
            </w:r>
            <w:r w:rsidR="00A66920" w:rsidRPr="00A66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среди населения городского округа Красноуфимск, в том числе</w:t>
            </w:r>
            <w:r w:rsidR="00346A18">
              <w:rPr>
                <w:rFonts w:ascii="Times New Roman" w:hAnsi="Times New Roman"/>
                <w:sz w:val="24"/>
                <w:szCs w:val="24"/>
              </w:rPr>
              <w:t xml:space="preserve"> несовершеннолетни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х.</w:t>
            </w:r>
          </w:p>
        </w:tc>
      </w:tr>
      <w:tr w:rsidR="00B236DF" w:rsidRPr="00A66A79" w14:paraId="0E2B580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6C64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13B02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16B75" w14:textId="77777777"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3ED43607" w14:textId="77777777"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922B" w14:textId="6B485006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95D7A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3F3D9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EC692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47088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DF2AA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34264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6DFFB" w14:textId="77777777"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7C4DAB" w:rsidRPr="00A66A79" w14:paraId="19A1A1B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702F39" w14:textId="37E03105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07153" w14:textId="28971E4F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56315367"/>
            <w:r>
              <w:rPr>
                <w:rFonts w:ascii="Times New Roman" w:hAnsi="Times New Roman"/>
                <w:sz w:val="24"/>
                <w:szCs w:val="24"/>
              </w:rPr>
              <w:t>3.1.2.2</w:t>
            </w:r>
            <w:bookmarkEnd w:id="5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987244" w14:textId="4049175B" w:rsidR="007C4DAB" w:rsidRPr="00B051EA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профилактику </w:t>
            </w:r>
            <w:r w:rsidRPr="00B051EA">
              <w:rPr>
                <w:rFonts w:ascii="Times New Roman" w:hAnsi="Times New Roman"/>
                <w:sz w:val="24"/>
                <w:szCs w:val="24"/>
              </w:rPr>
              <w:t xml:space="preserve">употребления алкоголя, табака и наркотических веществ </w:t>
            </w: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среди населения городского округа Красноуфимск, в том числе среди подростков и молодежи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7605" w14:textId="30868740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Усл.</w:t>
            </w:r>
          </w:p>
          <w:p w14:paraId="6C6470F1" w14:textId="04A2955E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4DD060" w14:textId="4B265AA9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FD269" w14:textId="006E8698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7D052" w14:textId="28E6F3A2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D340" w14:textId="7DB77A0E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D80295" w14:textId="5AEF8449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80125" w14:textId="31C4D205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0BB63" w14:textId="5E299C6E" w:rsidR="007C4DAB" w:rsidRPr="00B051EA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051EA">
              <w:rPr>
                <w:rFonts w:ascii="Times New Roman" w:hAnsi="Times New Roman"/>
                <w:sz w:val="20"/>
                <w:szCs w:val="20"/>
              </w:rPr>
              <w:t>базовый показатель 2021 года - 2</w:t>
            </w:r>
            <w:r w:rsidR="00C0665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7C4DAB" w:rsidRPr="00A66A79" w14:paraId="426D661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C0491" w14:textId="2EC5505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7FF3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711AA" w14:textId="77777777" w:rsidR="007C4DAB" w:rsidRPr="005D07A0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7C4DAB" w:rsidRPr="00A66A79" w14:paraId="77B0E9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1AD08" w14:textId="4FBAF9B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80CB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C5EE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5.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5BD1A50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0843A9" w14:textId="530A5BC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880C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11896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10.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4D2A9A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44773" w14:textId="7F781D8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25B4B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6ADB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14:paraId="641A2AF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077DD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3437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AFC81C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9C7D2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A87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526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8830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85BB1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9228A90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132AA8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5A7FD" w14:textId="3E12383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A9B6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8C06C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7C4DAB" w:rsidRPr="00A66A79" w14:paraId="33293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88816" w14:textId="2A847F4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9B19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E185D" w14:textId="77777777" w:rsidR="007C4DAB" w:rsidRPr="00C61BAF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07977F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D97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179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D599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1FB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2BF3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DCF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20C7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47E22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87967A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1AA47B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3EDA438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82150" w14:textId="0E27CED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2D1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DA78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7B70F8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B711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EE22A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7386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C9F4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6BC3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01D0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701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5859" w14:textId="77777777" w:rsidR="007C4DAB" w:rsidRPr="001E5251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5D591DD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7C4DAB" w:rsidRPr="00A66A79" w14:paraId="4BFE3B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C7E82" w14:textId="3F3AB97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E287B" w14:textId="77777777" w:rsidR="007C4DAB" w:rsidRPr="00A66A79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3B5B2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E64A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14:paraId="4FD81F3A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2D5A1" w14:textId="08BCCC91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A480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8D88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88E0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DCFE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E9D39" w14:textId="77777777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283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43F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C4DAB" w:rsidRPr="00A66A79" w14:paraId="5655A2C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38C51D" w14:textId="4AEA5E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ED14F" w14:textId="77777777" w:rsidR="007C4DAB" w:rsidRPr="008C71C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0B39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7C4DAB" w:rsidRPr="00A66A79" w14:paraId="17C795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2BC15" w14:textId="2EA75D2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063AE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EC8DA" w14:textId="77777777" w:rsidR="007C4DAB" w:rsidRPr="00C7140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3BFC42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14:paraId="4F49382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471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0C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004D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61E3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31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E95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D10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C845D" w14:textId="77777777" w:rsidR="007C4DAB" w:rsidRPr="00C7140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726E97EF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C4DAB" w:rsidRPr="00A66A79" w14:paraId="7FF500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CC8C1C" w14:textId="65AD5D0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7E5B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370C5" w14:textId="77777777" w:rsidR="007C4DAB" w:rsidRPr="009054E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2A1B9E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26560" w14:textId="07C354B2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7D9B6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7D9A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DBC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9320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6294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FA36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C85E1" w14:textId="77777777" w:rsidR="007C4DAB" w:rsidRPr="009054E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4A38CBF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74A8C4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0CC18" w14:textId="46D7012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2AB5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3A40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7C4DAB" w:rsidRPr="00A66A79" w14:paraId="7C5D41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757426" w14:textId="4D07EE9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5986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506B4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3F0C5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C872F7" w14:textId="489F7AA8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F4B0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DB7C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1F8F7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D01AC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02D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C74D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C9B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B782CD8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69C3A3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7B4E9" w14:textId="4458CE1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419F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47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7C4DAB" w:rsidRPr="00A66A79" w14:paraId="21721E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621EB0" w14:textId="1DE6AA1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00A58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9CBF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7C4DAB" w:rsidRPr="00A66A79" w14:paraId="13020F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4B87F" w14:textId="08EE10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6B5A0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2C4FE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C2680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E01B9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4EE8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0509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19C7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8D07C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0491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1C5F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536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12A901B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9E804" w14:textId="0203D7D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6B10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2FA3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4EBE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B9049" w14:textId="6656273B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B226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29F41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46D6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6251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9DC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4E32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BABC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7C4DAB" w:rsidRPr="00A66A79" w14:paraId="3A1B5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404A6" w14:textId="687C78F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34A7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CA24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7C4DAB" w:rsidRPr="00A66A79" w14:paraId="433BD7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DE0DC" w14:textId="2DDAA30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82F9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7B43" w14:textId="77777777" w:rsidR="007C4DAB" w:rsidRPr="00A606AA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9727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A768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1FE3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A63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38FD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D8A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38FE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53F1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2B7A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C4DAB" w:rsidRPr="00A66A79" w14:paraId="5027914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0C007" w14:textId="37ABFF4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3B8D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5EF76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2604AED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1D6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F877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1D57B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B061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638F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189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F85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B69D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7C4DAB" w:rsidRPr="00A66A79" w14:paraId="076073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3187" w14:textId="5C6E380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CEA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40AE02" w14:textId="77777777" w:rsidR="007C4DAB" w:rsidRPr="00F408AC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7C4DAB" w:rsidRPr="00A66A79" w14:paraId="437ECF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8B0E8" w14:textId="0B68B64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7706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E04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7C4DAB" w:rsidRPr="00A66A79" w14:paraId="23DBDBC6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FD9B4" w14:textId="3419369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FD18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58A00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7C4DAB" w:rsidRPr="00A66A79" w14:paraId="4A5787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F021" w14:textId="464F267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AFA7B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0805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14:paraId="62B8584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>
              <w:rPr>
                <w:rFonts w:ascii="Times New Roman" w:hAnsi="Times New Roman"/>
                <w:sz w:val="24"/>
                <w:szCs w:val="24"/>
              </w:rPr>
              <w:t>, работающих в автоматизированном режиме,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0231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F0E2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E13F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505D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192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DC8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E8A7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242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7C4DAB" w:rsidRPr="00A66A79" w14:paraId="1AB12A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9045F" w14:textId="6582F87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96E8D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300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17. Обучение населения городского округа Красноуфимск защите от чрезвычайных ситуаций мирного и военного времени</w:t>
            </w:r>
          </w:p>
        </w:tc>
      </w:tr>
      <w:tr w:rsidR="007C4DAB" w:rsidRPr="00A66A79" w14:paraId="3606DEA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90449" w14:textId="614619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61A0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0FFD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14:paraId="5E92D22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4610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C35D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A7E8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25D4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31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8AA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7553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69F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7C4DAB" w:rsidRPr="00A66A79" w14:paraId="72632C24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998AA9" w14:textId="594B81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939E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E47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7C4DAB" w:rsidRPr="00A66A79" w14:paraId="3B8ABFAA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15DFB" w14:textId="459FCBC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9F5E9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CC31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3DD502F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FFE7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13C2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D446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67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DE08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B55B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40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19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020981F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7AFB4" w14:textId="1E5A3B4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C692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AD210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7C4DAB" w:rsidRPr="00A66A79" w14:paraId="299BB25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8AA9" w14:textId="06A121C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6514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835F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8. Обеспечение первичных мер пожарной безопасности на территории городского округа Красноуфимск</w:t>
            </w:r>
          </w:p>
        </w:tc>
      </w:tr>
      <w:tr w:rsidR="007C4DAB" w:rsidRPr="00A66A79" w14:paraId="5B800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519AE" w14:textId="6E98D8D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707E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6B44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19. Обучение населения городского округа Красноуфимск мерам пожарной безопасности</w:t>
            </w:r>
          </w:p>
        </w:tc>
      </w:tr>
      <w:tr w:rsidR="007C4DAB" w:rsidRPr="00A66A79" w14:paraId="04E04E0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1DDAB" w14:textId="25110A08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1D51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8C9BF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27.</w:t>
            </w:r>
          </w:p>
          <w:p w14:paraId="74C0578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C0B7B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8121E9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EB24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9FDF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10B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049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E61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D16C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7C4DAB" w:rsidRPr="00A66A79" w14:paraId="5200972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D3130" w14:textId="19BA9F6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4DA72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D49B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3DB1C68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9E2B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1C414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7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373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0ADE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C795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8EE2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43FC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7C4DAB" w:rsidRPr="00A66A79" w14:paraId="47E667AB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49547" w14:textId="2781619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FAF4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3A1E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20. Создание условий для деятельности добровольной пожарной охраны</w:t>
            </w:r>
          </w:p>
        </w:tc>
      </w:tr>
      <w:tr w:rsidR="007C4DAB" w:rsidRPr="00A66A79" w14:paraId="6E78A4F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3DBAB" w14:textId="2988F8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F131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7BA5BB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14:paraId="2891CB0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>команды в п.Пудлинговый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5B78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CCC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EDFD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BEA2E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D848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17F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F44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6C6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29A0EE8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CEFF2" w14:textId="06A8A3C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DDF8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4CB8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Обеспечение безопасности граждан на водных объектах городского округа Красноуфимск</w:t>
            </w:r>
          </w:p>
        </w:tc>
      </w:tr>
      <w:tr w:rsidR="007C4DAB" w:rsidRPr="00A66A79" w14:paraId="26CCB792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A8BC" w14:textId="0E9F5AF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2046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F773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7C4DAB" w:rsidRPr="00A66A79" w14:paraId="5074E1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AB1FED" w14:textId="5607961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4904E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0C59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7B8459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2534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17EB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2DF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1D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37C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343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4185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5EDE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7C4DAB" w:rsidRPr="00A66A79" w14:paraId="094DBC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FC89B" w14:textId="7C14D83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FBF3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7AA2D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14:paraId="4EE84A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>знаков безопасности на водных объектах и информационных аншлагов в местах 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470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2B1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DC35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C0E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D085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6F6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982B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8C9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36B1268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2CA4B" w14:textId="46B8F36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7639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417C8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7C4DAB" w:rsidRPr="00A66A79" w14:paraId="7F3A4F2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FDED6" w14:textId="405F97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490C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234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 Повышение комплексной безопасности на территории городского округа Красноуфимск</w:t>
            </w:r>
          </w:p>
        </w:tc>
      </w:tr>
      <w:tr w:rsidR="007C4DAB" w:rsidRPr="00A66A79" w14:paraId="0D73991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AE926" w14:textId="2E3A7FB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F455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357F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22.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7C4DAB" w:rsidRPr="00A66A79" w14:paraId="44EE73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5F8AE" w14:textId="2F73449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EA74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34E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32.</w:t>
            </w:r>
          </w:p>
          <w:p w14:paraId="6A1345E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D44E0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015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664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AB4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A5AB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75C6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186A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8AD5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0ADED068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EDE7CC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1E2318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D941A7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5C8D139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40F712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F75430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995D86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6A5D2C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52948BE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27C865A7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DF082B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ED4B361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F2497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9F9EB32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3C0AC24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>Методика</w:t>
      </w:r>
    </w:p>
    <w:p w14:paraId="6198A5C9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381CFF83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83293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01D12104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4EEC377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55D6268F" wp14:editId="13921232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5719E0F3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6D7A4A5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Д пров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69D403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059D73AB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46B119C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1A8F40C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04B4C12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2561B042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2FB3A05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191A93E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2BA7DEA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6215842F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6E7CDEE8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47805055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50D11822" w14:textId="0B0DDA86" w:rsidR="00685BB7" w:rsidRDefault="002938D9" w:rsidP="00796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sectPr w:rsidR="00685BB7" w:rsidSect="000426F2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B8C5" w14:textId="77777777" w:rsidR="00C0283D" w:rsidRDefault="00C0283D" w:rsidP="00A569F0">
      <w:pPr>
        <w:spacing w:after="0" w:line="240" w:lineRule="auto"/>
      </w:pPr>
      <w:r>
        <w:separator/>
      </w:r>
    </w:p>
  </w:endnote>
  <w:endnote w:type="continuationSeparator" w:id="0">
    <w:p w14:paraId="11C650C1" w14:textId="77777777" w:rsidR="00C0283D" w:rsidRDefault="00C0283D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FE88F" w14:textId="77777777" w:rsidR="00CC1319" w:rsidRDefault="00CC1319">
    <w:pPr>
      <w:pStyle w:val="a3"/>
      <w:jc w:val="right"/>
    </w:pPr>
  </w:p>
  <w:p w14:paraId="78E97D21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2D30C" w14:textId="77777777" w:rsidR="00C0283D" w:rsidRDefault="00C0283D" w:rsidP="00A569F0">
      <w:pPr>
        <w:spacing w:after="0" w:line="240" w:lineRule="auto"/>
      </w:pPr>
      <w:r>
        <w:separator/>
      </w:r>
    </w:p>
  </w:footnote>
  <w:footnote w:type="continuationSeparator" w:id="0">
    <w:p w14:paraId="67F0AE7A" w14:textId="77777777" w:rsidR="00C0283D" w:rsidRDefault="00C0283D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4846">
    <w:abstractNumId w:val="6"/>
  </w:num>
  <w:num w:numId="2" w16cid:durableId="1301880951">
    <w:abstractNumId w:val="3"/>
  </w:num>
  <w:num w:numId="3" w16cid:durableId="929192851">
    <w:abstractNumId w:val="0"/>
  </w:num>
  <w:num w:numId="4" w16cid:durableId="1764914922">
    <w:abstractNumId w:val="5"/>
  </w:num>
  <w:num w:numId="5" w16cid:durableId="464660235">
    <w:abstractNumId w:val="2"/>
  </w:num>
  <w:num w:numId="6" w16cid:durableId="1980572829">
    <w:abstractNumId w:val="4"/>
  </w:num>
  <w:num w:numId="7" w16cid:durableId="125929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11B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26F2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0A96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1F4A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9CB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1CAA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D6EE9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7C2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3B48"/>
    <w:rsid w:val="00524721"/>
    <w:rsid w:val="0052478D"/>
    <w:rsid w:val="00525C2E"/>
    <w:rsid w:val="00526B21"/>
    <w:rsid w:val="0052769B"/>
    <w:rsid w:val="005306EB"/>
    <w:rsid w:val="00530733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3A8E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1374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5265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19A2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47F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1B2B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474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4DAB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33FB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5DE2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6AB8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2D2F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49A9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1381"/>
    <w:rsid w:val="00A62973"/>
    <w:rsid w:val="00A6299F"/>
    <w:rsid w:val="00A64E2D"/>
    <w:rsid w:val="00A64FFB"/>
    <w:rsid w:val="00A65BFA"/>
    <w:rsid w:val="00A65C9F"/>
    <w:rsid w:val="00A65DE9"/>
    <w:rsid w:val="00A66334"/>
    <w:rsid w:val="00A66920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1EA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41C4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283D"/>
    <w:rsid w:val="00C03F5C"/>
    <w:rsid w:val="00C04031"/>
    <w:rsid w:val="00C04468"/>
    <w:rsid w:val="00C0491D"/>
    <w:rsid w:val="00C049C2"/>
    <w:rsid w:val="00C05EED"/>
    <w:rsid w:val="00C062A6"/>
    <w:rsid w:val="00C06657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2EF9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1870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6D9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3FEB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481A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0D3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D57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E7A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5880</Words>
  <Characters>33520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3</cp:revision>
  <cp:lastPrinted>2022-09-26T10:58:00Z</cp:lastPrinted>
  <dcterms:created xsi:type="dcterms:W3CDTF">2024-12-27T11:08:00Z</dcterms:created>
  <dcterms:modified xsi:type="dcterms:W3CDTF">2025-01-09T07:24:00Z</dcterms:modified>
</cp:coreProperties>
</file>